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color w:val="004DBB"/>
          <w:lang w:val="en-US" w:eastAsia="en-US"/>
        </w:rPr>
      </w:pPr>
      <w:bookmarkStart w:id="0" w:name="_GoBack"/>
      <w:bookmarkEnd w:id="0"/>
    </w:p>
    <w:tbl>
      <w:tblPr>
        <w:tblpPr w:leftFromText="181" w:rightFromText="181" w:vertAnchor="text" w:tblpX="1" w:tblpY="1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874"/>
        <w:gridCol w:w="3986"/>
        <w:gridCol w:w="990"/>
        <w:gridCol w:w="2959"/>
      </w:tblGrid>
      <w:tr w:rsidR="00175D5E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</w:tr>
      <w:tr w:rsidR="00175D5E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КОДЫ</w:t>
            </w:r>
          </w:p>
        </w:tc>
      </w:tr>
      <w:tr w:rsidR="00175D5E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июля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2022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Форма по ОКУД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0503160</w:t>
            </w:r>
          </w:p>
        </w:tc>
      </w:tr>
      <w:tr w:rsidR="00175D5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5D5E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01.07.2022</w:t>
            </w:r>
          </w:p>
        </w:tc>
      </w:tr>
      <w:tr w:rsidR="00175D5E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</w:t>
            </w:r>
            <w:r>
              <w:rPr>
                <w:rFonts w:ascii="Times New Roman" w:eastAsia="Calibri" w:hAnsi="Times New Roman" w:cs="Times New Roman"/>
                <w:color w:val="000000"/>
              </w:rPr>
              <w:t>администратор, администратор источников финансирования дефицита 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 ОКПО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13540620</w:t>
            </w:r>
          </w:p>
        </w:tc>
      </w:tr>
      <w:tr w:rsidR="00175D5E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5D5E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5D5E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5D5E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1406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управа района Левобережный города Москвы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Глава по БК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931 </w:t>
            </w:r>
          </w:p>
        </w:tc>
      </w:tr>
      <w:tr w:rsidR="00175D5E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Наименование бюджета (публично-правового образования)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Бюджет города 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по 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Style w:val="style461"/>
                <w:rFonts w:ascii="Times New Roman" w:eastAsia="Calibri" w:hAnsi="Times New Roman" w:cs="Times New Roman"/>
                <w:bCs/>
                <w:sz w:val="22"/>
                <w:szCs w:val="22"/>
                <w:lang w:val="en-US" w:eastAsia="en-US"/>
              </w:rPr>
              <w:t>45342000</w:t>
            </w:r>
            <w:r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 </w:t>
            </w:r>
          </w:p>
        </w:tc>
      </w:tr>
      <w:tr w:rsidR="00175D5E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175D5E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Периодичность: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lang w:val="en-US" w:eastAsia="en-US"/>
              </w:rPr>
              <w:t>квартальная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 </w:t>
            </w:r>
          </w:p>
        </w:tc>
      </w:tr>
      <w:tr w:rsidR="00175D5E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Единица измерения: руб.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по ОКЕИ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383</w:t>
            </w:r>
          </w:p>
        </w:tc>
      </w:tr>
      <w:tr w:rsidR="00175D5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D5E" w:rsidRDefault="00175D5E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75D5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75D5E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75D5E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75D5E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5D5E" w:rsidRDefault="00175D5E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CE1406">
      <w:pPr>
        <w:widowControl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Раздел 1 «Организационная структура субъекта бюджетной отчетности»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Style w:val="1"/>
        <w:tblW w:w="107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0"/>
      </w:tblGrid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Информация о месте нахождения и организационно-правовой форме субъекта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отчетности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Управа района Левобережный города Москвы находится по адресу: 125565, г. Москва, ул. Флотская, дом 1. Организационно-правовая форма - государственное казенное учреждение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Сведения об изменениях наименования субъекта за отчетный период, если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такие изменения производились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Изменения в наименовании субъекта за отчетный период не производились.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учредителя субъекта отчетности (для подведомственных получателей бюджетных средств)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Префектура Северного административного округа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Москвы.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наличии филиалов (обособленных подразделений) учреждения по состоянию на отчетную дату с указанием причин, произошедших в течение отчетного периода изменений количества филиалов (обособленных подразделений)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филиалов (обособленных подразделений) у учреждения по состоянию на отчетную дату отсутствуют.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Информация об изменении состава бюджетных полномочий получателей, распорядителей бюджетных средств, находящихся в ведении главного распорядителя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(распорядителя) бюджетных средств, а также администраторов находящихся в ведении главных администраторов источников финансирования дефицита бюджета, главных администраторов доходов бюджета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Управа района осуществляет бюджетные полномочия распорядителя и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олучателя средств бюджета города Москвы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передаче полномочий по ведению бухгалтерского учета иному учреждению (централизованной бухгалтерии) на основании договора (соглашения) с указанием их реквизитов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Передача полномочий по ведению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бухгалтерского учета управы района иному учреждению (централизованной бухгалтерии) на основании договора (соглашения) не производилась.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об исполнителе (ФИО, должность) централизованной бухгалтерии, составившем бухгалтерскую отчетность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Централизованная бухгалтерия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Иная информация, оказавшая существенное влияние и характеризующая организационную структуру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Иная информация не нашедшая отражения в таблицах и приложениях, включаемых в раздел отсутствует.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Прочая информация </w:t>
            </w:r>
          </w:p>
          <w:p w:rsidR="00175D5E" w:rsidRDefault="00175D5E">
            <w:pPr>
              <w:widowControl w:val="0"/>
              <w:tabs>
                <w:tab w:val="left" w:pos="10348"/>
                <w:tab w:val="left" w:pos="10632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5D5E">
        <w:trPr>
          <w:trHeight w:val="381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Прочая информация отсутствует.</w:t>
            </w: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CE1406">
      <w:pPr>
        <w:widowControl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Раздел 2 «Результаты деятельности субъекта бюджетной отчетности»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Style w:val="1"/>
        <w:tblW w:w="54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Информация, оказавшая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существенное влияние и характеризующая результаты деятельности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Информация не нашедшая отражения в таблицах и приложениях, отсутствует.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Иная информация о результатах деятельности субъекта бюджетной отчетности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CE1406">
      <w:pPr>
        <w:widowControl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Раздел 3 «Анализ отчета об исполнении бюджета субъектом бюджетной отчетности»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Style w:val="1"/>
        <w:tblW w:w="54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принятых субъектом отчетности обязательствах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(денежных обязательствах), исполнение которых предусмотрено в соответствующих финансовых годах, следующих за отчетным годом (на основании ф. 0503128)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По управе района Левобережный приняты бюджетные обязательства, исполнение которых предусмотрено на 2023 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год;</w:t>
            </w: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1. Оплата услуг по предоставлению автотранспорта с водителями для нужд управы района Левобережный города </w:t>
            </w:r>
            <w:proofErr w:type="gramStart"/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Москвы  по</w:t>
            </w:r>
            <w:proofErr w:type="gramEnd"/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контракту с ООО "Стройноватор" на сумму 2 854 297,12 руб.;</w:t>
            </w: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 Оплата услуг холодного водоснабжения и водоотведения по контракту с АО "М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осводоканал" на сумму 40 647,41 руб.;</w:t>
            </w:r>
          </w:p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3. Резерв отпусков на сумму 2 393 288,82руб.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(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том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числе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страховые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взносы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380 603,13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.)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принятии бюджетных обязательств (денежных обязательств) сверх утвержденного субъекту бюджетной отчетности на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финансовый год объема бюджетных ассигнований и (или) лимитов бюджетных обязательств (на основании ф. 0503128, а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так же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 составе годовой отчетности на основании ф. 0503175)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Сведения, раскрывающие информацию о ходе реализации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государственными (муниципальными) бюджетными и автономными учреждениями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за счет средств субс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идии на иные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Национальные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проекты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Информация, раскрывающая данные о неисполненных принятых бюджетных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обязательствах и денежных обязательствах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(на основании ф. 0503128-НП)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сумме курсовой разницы, отраженной в ф. 0503127 в разрезе следующих показателей:- положительная курсовая разница;- отрицательная курсовая разница;- начисленная по доходам или расходам;-  наименование контрагентов и мероприятий, по которым осущ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ествляются расчеты в иностранной валюте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Информация полностью отражена в бюджетной отчетности.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Иная информация, оказавшая существенное влияние и характеризующая результаты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исполнения  бюджета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субъектом бюджетной отчетности, не отраженная в таблицах и приложениях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ab/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CE1406">
      <w:pPr>
        <w:widowControl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Раздел 4 «Анализ показателей бухгалтерской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отчетности субъекта бюджетной отчетности»</w:t>
      </w:r>
    </w:p>
    <w:tbl>
      <w:tblPr>
        <w:tblStyle w:val="1"/>
        <w:tblW w:w="54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причинах увеличения дебиторской и кредиторской задолженности, в том числе просроченной, по состоянию на отчетную дату в сравнении с данными за аналогичный отчетный период прошлого финансового года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Информация представлена в приложении к Пояснительной записке «Анализ дебиторской (кредиторской) задолженности к ф. 0503169»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остатков  дебиторской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(кредиторской) задолженности, в том числе просроченной  на конец отчетного периода (на основании ф. 0503169). 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Информация представлена в приложении к Пояснительной записке «Анализ дебиторской (кредиторской) задолженности к ф.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0503169»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по показателям, отраженным со знаком «минус» в ф. 0503169 по увеличению и (или) уменьшению дебиторской (кредиторской) задолженности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Информация представлена в приложении к Пояснительной записке «Анализ дебиторской (кредиторской) 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задолженности к ф. 0503169»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выявленных недостачах денежных средств и денежных документов, а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так же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принимаемые меры для обеспечения их сохранности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Недостач и хищений не выявлено.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просроченной дебиторской (кредиторской) задолженности, отраженной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 ф.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0503169 с кодом причин: 05 - иные причины возникновения просроченной кредиторской задолженности; 89 - иные причины возникновения просроченной дебиторской задолженности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Просроченная дебиторской (кредиторской) задолженность отсутсвует.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финансов,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отраженных  в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ф. 0503173 по коду причины «02»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об ошибках предшествующих годов, отраженных после утверждения бухгалтерской отчетности в ф. 0503173 по кодам причин «03» и «07»:- описание ошибки;- сумма корректировки по каждой статье бухгалтерской отчетности за каждый из предшествующих годов,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для которых в бухгалтерской отчетности раскрываются сравнительные показатели;- общая сумма корректировки на начало самого раннего из предшествующих годов, для которого в бухгалтерской  отчетности раскрываются сравнительные показатели;- описание причин, по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которым корректировка сравнительных показателей бухгалтерской отчетности за один или несколько предшествующих годов не представляется возможным, а также способа отражения исправления ошибки с указанием периода, в котором отражены исправления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Отражена 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сумма переплаты по страховым взносам ФСС на счете 209.36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суммах корректировок, связанных с ретроспективным применением измененной учетной политики с указанием обоснования и содержания ее изменения, порядок отражения последствий изменений в отчетности, включая указание на обстоятельства, в связи с ко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торыми применяется выбранный способ ведения бухгалтерского учета, и дату, с которой он применяется по показателям, отраженным по коду причины «04» в ф. 0503173;                                                                                               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2.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суммах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корректировок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при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ретроспективном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применении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измененной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учетной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политики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раскрывающая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:-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суммы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корректировок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каждой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статье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бухгалтерской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отчетности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за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каждый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из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предшествующих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годов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для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которых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бухгалтерской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отчетн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ости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раскрываются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сравнительные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;-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суммы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корректировок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относящихся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годам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предшествующим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тем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для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которых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отчетности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субъекта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учета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раскрываются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сравнительные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показатели</w:t>
            </w:r>
            <w:proofErr w:type="spellEnd"/>
          </w:p>
          <w:p w:rsidR="00175D5E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Изменения в ф. 173 по коду 04 не производились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по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показателям, отраженным по коду причины 06 «Иные причины» в ф. 0503173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Показатели, отраженные по коду причины 06 «Иные причины» в ф. 0503173 отсутствуют.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Информация, о причинах (целях) открытия счетов в кредитных организациях, о причинах образования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остатка денежных средств на счетах, а также обоснование необходимости наличия банковских счетов в случае отсутствия по ним операций в течении 2-х и более лет (на основании ф. 0503178-бюджетная деятельность)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Имеется лицевой счет по исполнению расходов за 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счет средств бюджета города Москвы открыт в Департаменте финансов ТФКУ №2.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Информация, о причинах (целях) открытия счетов в кредитных организациях, о причинах образования остатка денежных средств на счетах в кредитной организации (на основании ф.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0503178-средства во временном распоряжении)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Имеется лицевой счет по исполнению расходов за счет средств бюджета города Москвы открыт в Департаменте финансов ТФКУ №2.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суммах денежных потоков между субъектом отчетности и организацией, доля участия субъекта отчетности в капитале которой составляет более 20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%  голосующих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акций (долей, паев, вкладов),  по направлениям поступлений и выбытий денежных средств (ф. 0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503123)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составе денежных средств и эквивалентов денежных средств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в отношении каждого приобретения или продажи организации, доля участия субъекта отчетности в капитале (имуществе) которой составляет более 50%  голосующих акций (долей, паев, вкладов): - общая сумма дохода или расхода от операции приобретения ил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 продажи организации;- сумма денежных потоков, полученных или уплаченных от операции приобретения или продажи организации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по  остаткам отраженным по счету бюджетного учета 120134000 «Касса» 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Показатели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суммах:- дебиторской задолженности, признанной по необменным операциям;- изменений доходов будущих периодов по видам доходов;- обязательств по авансовым поступлениям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Информация отражена в ф. 0503169 и приложении к 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Пояснительной записке «Анализ дебиторской (кредиторской) задолженности к ф. 0503169»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об объектах учета выплат персоналу: - о сумме задолженности по текущим выплатам персоналу на начало и конец отчетного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периода;-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 сумме резерва предстоящих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расходов по выплатам персоналу (отложенных выплат персоналу) на начало и конец отчетного периода по каждому виду обязанностей по выплатам персоналу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Информация об объектах учета выплат персоналу:</w:t>
            </w: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- сумме задолженности по текущим выплатам персоналу на начало и конец отчетного периода отсутствует;</w:t>
            </w: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о сумме резерва предстоящих расходов:</w:t>
            </w: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отпуска в сумме 2 012 685,69 рублей;</w:t>
            </w: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взносы с сумм резерва отпусков в сумме 380 603,13 рублей.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сумме корректировок (увеличений, уменьшений) величины резерва предстоящих расходов по выплатам персоналу (отложенных выплат персоналу) по каждому виду отложенных выплат персоналу  в структуре оснований:                                        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           - признание объектов учета отложенных выплат персоналу; - признание объектов учета текущих выплат персоналу за счет сумм ранее признанного резерва;                                    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                         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- корректировка резерва в части избыточно начисленных сумм резерва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пенсионных и иных аналогичных выплатах на плановый период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(пояснения) о некассовых операциях, отраженных в Отчете (ф. 0503127)  (характеристика операций) 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Иная информация, характеризующая показатели бухгалтерской отчетности субъекта бюджетной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отчетности, не нашедшая отражения в таблицах и приложениях</w:t>
            </w:r>
          </w:p>
          <w:p w:rsidR="00175D5E" w:rsidRPr="00CE1406" w:rsidRDefault="00175D5E">
            <w:pPr>
              <w:widowControl w:val="0"/>
              <w:ind w:right="3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CE1406">
      <w:pPr>
        <w:widowControl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Раздел 5 «Прочие вопросы деятельности субъекта бюджетной отчетности»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Style w:val="1"/>
        <w:tblW w:w="54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Перечень правовых актов главного распорядителя бюджетных средств, главного администратора источников финансирования дефицита бюджета, главного администратора доходов бюджетов, регулирующих ведение бюджетного (бухгалтерского) учета и составление отчетности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Бюджетный учет в подведомственных учреждениях ведется в соответствии с приказом Минфина России от 01 декабря 2010 года №157н «Об утверждении Единого плана счетов бухгалтерского учета для органов государственной власти (государственных органов), органов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Минфина России от 06 декабря 2010 года №162н «Об утверж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дении Плана счетов бюджетного учета и Инструкции по его применению». Бюджетная отчетность составлена в соответствии с Федеральным законом  от 05.12.2011 г. № 402-ФЗ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событиях, произошедших в период между отчетной датой и датой утверждения бухгалтерской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отчетности  по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долговым обязательствам, классифицированным как краткосрочные:- рефинансирование на долгосрочный период;- устранение нарушения соглашения о д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олгосрочном финансировании;- получение от кредитора отсрочки исполнения обязательств на период, оканчивающийся не ранее чем через 12 месяцев после отчетной даты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 задолженности по исполнительным документам и правовом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основании ее возникновения, отраженная в ф. 0503296 с указанием причин неисполнения обязательств, в том числе по КОСГУ 296, КОСГУ 297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просроченной кредиторской задолженности  отраженная в ф. 0503387 «Справочная таблица к отчету об исполнении консолидированного бюджета субъекта Российской Федерации» 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Просроченная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кредиторская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задолженность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Иная информация отраженная в ф. 0503387 «Справочная таблица к отчету об исполнении консолидированного бюджета субъекта Российской Федерации»  и требующая пояснения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причинах наличия допустимых отклонений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показателей отчета ф.0503324 данным, отраженным в Отчете ф. 0531888, формируемом Управлением Федерального казначейства по г. Москве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Отклонения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отсутствуют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полученных межбюджетных трансфертах находящихся на отчетную дату на счете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территориального органа Федерального казначейства, открытом на балансовом счете 40101 «Доходы, распределяемые органами Федерального казначейства между уровнями бюджетной системы Российской Федерации» (на основании ф. 0503184)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Межбюджетные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трансферты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тствуют</w:t>
            </w:r>
            <w:proofErr w:type="spellEnd"/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Иная информация  о  межбюджетных трансфертах за отчетный период, не нашедшая отражения в формах отчетов, таблицах и приложениях  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Информация  о  межбюджетных трансфертах за отчетный период, не нашедшая отражения в формах отчетов, таблицах и приложениях отсутствует.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Сведения о правопреемственности по всем обязательствам реорганизуемого субъекта бюджетной отчетности в отношении всех кредиторов и должников, включая и обязательства, оспариваемые в суде, а также иная информация, характеризующая показатели бухгалтерской о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тчетности реорганизуемого субъекта бюджетной отчетности за отчетный период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Реорганизация субъекта бюджетной отчетности не осуществлялась.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 вносимых изменениях в показатели ранее представленной бухгалтерской отчётности по решению уполномоченного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органа  в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период после отчетной даты  и до даты утверждения отчетности на основании выявленных ошибок и существенных событий после отчетн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ой даты (с указанием причин внесения исправлений и их содержания) по ошибкам отчетного периода, выявленных в ходе камеральной проверки отчетности, а также в ходе осуществления внутреннего (внешнего) финансового контроля (аудита)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Изменения в показатели 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ранее представленной бухгалтерской отчетности отсутствуют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 (информация о существенности ошибки, описание ошибки (содержания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 суммы), а также суммовых значений выполненных корректировок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бухгалтерской  отчетности</w:t>
            </w:r>
            <w:proofErr w:type="gramEnd"/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Информации, необходимой для отражения, нет.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Перечень форм отчетности, не включенных в состав бюджетной отчетности за отчетный период ввиду отсутствия числовых значений показателей (подлежит заполнению при отсутствии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возможности  формирования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 (или) представления бюджетной отчетности средствами прог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раммных комплексов)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Формы бюджетной отчетности, не имеющие числовых значений показателей и не содержащие пояснения, сформированы и представлены посредством модуля «Консолидированная бюджетная отчетность» автоматизированной информационной системы </w:t>
            </w: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Департамента финансов города Москвы с указанием отметки «показатели отсутствуют»</w:t>
            </w: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по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заимствованиям:-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величина затрат, включенных в расходы текущего отчетного периода;- величина обязательств по затратам по заимствованиям на начало и конец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отчетного периода;- величина затрат по заимствованиям, включенных в течение отчетного периода в первоначальную стоимость нефинансовых активов, создаваемых с привлечением заимствований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Информация об изменениях вступительного 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баланса на начало года в связи с внедрением федеральных стандартов бухгалтерского учета, в связи с выявленными ошибками предшествующих годов, отраженных после утверждения бухгалтерской отчетности, в связи с изменением учетной политики, в связи с пересчетом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показателей отчетности и иными причинами изменения вступительного баланса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Отражена сумма переплаты по Страховым взносам ФСС на счет 209.36 в сумме 32637,11 рублей и отражена субсидия по ГЗ на сумму 906 482,39 как ошибка прошлых лет.</w:t>
            </w:r>
          </w:p>
          <w:p w:rsidR="00175D5E" w:rsidRPr="00CE1406" w:rsidRDefault="00175D5E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Pr="00CE1406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75D5E" w:rsidRPr="00CE1406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результатов деятельност</w:t>
            </w:r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и движения денежных средств субъекта отчетности за отчетный </w:t>
            </w:r>
            <w:proofErr w:type="gramStart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период,  также</w:t>
            </w:r>
            <w:proofErr w:type="gramEnd"/>
            <w:r w:rsidRPr="00C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  <w:p w:rsidR="00175D5E" w:rsidRPr="00CE1406" w:rsidRDefault="00175D5E">
            <w:pPr>
              <w:widowControl w:val="0"/>
              <w:ind w:right="-14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5D5E">
        <w:trPr>
          <w:trHeight w:val="39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ind w:right="3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отсутствует</w:t>
            </w:r>
            <w:proofErr w:type="spellEnd"/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175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75D5E" w:rsidRDefault="00175D5E">
            <w:pPr>
              <w:widowControl w:val="0"/>
              <w:ind w:right="-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  <w:sectPr w:rsidR="00175D5E">
          <w:pgSz w:w="12240" w:h="15840"/>
          <w:pgMar w:top="1134" w:right="1701" w:bottom="1134" w:left="819" w:header="708" w:footer="708" w:gutter="0"/>
          <w:cols w:space="720"/>
          <w:noEndnote/>
        </w:sect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CE1406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Информация о причинах отклонений показателей представленных форм отчетности по 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внутридокументным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 контрольным соотношениям, установленным в автоматизированной информационной системе Департамента финансов (в части допустимых отклонений, требующих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пояснений)</w:t>
      </w:r>
    </w:p>
    <w:p w:rsidR="00175D5E" w:rsidRDefault="00175D5E">
      <w:pPr>
        <w:widowControl w:val="0"/>
        <w:jc w:val="center"/>
        <w:rPr>
          <w:rFonts w:eastAsia="Calibri"/>
          <w:bCs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709"/>
        <w:gridCol w:w="851"/>
        <w:gridCol w:w="1134"/>
        <w:gridCol w:w="1559"/>
        <w:gridCol w:w="1843"/>
        <w:gridCol w:w="1701"/>
        <w:gridCol w:w="1701"/>
        <w:gridCol w:w="4749"/>
      </w:tblGrid>
      <w:tr w:rsidR="00175D5E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Форма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Атрибут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Номер 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Описание 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Комментарий 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Значение слева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Значение справа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Отклонение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Пояснение</w:t>
            </w:r>
          </w:p>
        </w:tc>
      </w:tr>
      <w:tr w:rsidR="00175D5E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75D5E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 xml:space="preserve"> 0503128M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В25-128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Pr="00CE1406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т1 гр9 Фильтр: за исключением строк по КВР 312, 313, 330 или ЦСР ХХХХХ92795 С  (Без промежуточных итогов) = 0 Диапазон строк: Если гр.5=0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Pr="00CE1406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Показатели по графе 9 при отсутствии ЛБО - требуется пояснение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1 236,02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1 236,02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Пени по акту сверки расчетов на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30.06.2022</w:t>
            </w:r>
          </w:p>
        </w:tc>
      </w:tr>
      <w:tr w:rsidR="00175D5E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ФК-1-16_128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Pr="00CE1406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т1 гр5 Фильтр: (где КВР &lt;&gt; 312, 313,330) &gt;= т1 гр7 Фильтр: (где КВР &lt;&gt; 312, 313,330)+т1 гр6 Фильтр: (где КВР &lt;&gt; 312, 313,330)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Pr="00CE1406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Показатель принятых и принимаемых бюджетных обязательств превышает ЛБО – требуется поясн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1 236,02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-1 236,02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Пени по акту сверки расчетов на 30.06.2022</w:t>
            </w:r>
          </w:p>
        </w:tc>
      </w:tr>
      <w:tr w:rsidR="00175D5E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Pr="00CE1406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квр-счет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пояснение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т2 гр2,3,4,5,6,7,8,9,10,11,12,13,14 С  = 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требуется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пояснение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1 236,02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1 236,02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Пени по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акту сверки на 30.06.2022</w:t>
            </w:r>
          </w:p>
        </w:tc>
      </w:tr>
      <w:tr w:rsidR="00175D5E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Pr="00CE1406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Код ВФО=1,Наименование финансового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обеспечения_169=бюджетная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квр-счет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пояснение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т2 гр2,3,4,5,6,7,8,9,10,11,12,13,14 С  = 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требуется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пояснение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68,44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68,44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Начисленные пени по акту сверки расчетов на 30.06.2022</w:t>
            </w:r>
          </w:p>
        </w:tc>
      </w:tr>
      <w:tr w:rsidR="00175D5E">
        <w:trPr>
          <w:trHeight w:val="255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Pr="00CE1406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квр-счет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пояснение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т2 гр2,3,4,5,6,7,8,9,10,11,12,13,14 С  = 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требуется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пояснение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1 167,58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1 167,58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Пени по акту сверки на 31.12.2022</w:t>
            </w:r>
          </w:p>
        </w:tc>
      </w:tr>
    </w:tbl>
    <w:p w:rsidR="00175D5E" w:rsidRPr="00CE1406" w:rsidRDefault="00175D5E">
      <w:pPr>
        <w:widowControl w:val="0"/>
        <w:jc w:val="center"/>
        <w:rPr>
          <w:rFonts w:ascii="Times New Roman CYR" w:eastAsia="Calibri" w:hAnsi="Times New Roman CYR" w:cs="Times New Roman CYR"/>
          <w:bCs/>
          <w:lang w:eastAsia="en-US"/>
        </w:rPr>
      </w:pPr>
    </w:p>
    <w:p w:rsidR="00175D5E" w:rsidRPr="00CE1406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eastAsia="en-US"/>
        </w:rPr>
      </w:pPr>
    </w:p>
    <w:p w:rsidR="00175D5E" w:rsidRPr="00CE1406" w:rsidRDefault="00175D5E">
      <w:pPr>
        <w:widowControl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75D5E" w:rsidRPr="00CE1406" w:rsidRDefault="00175D5E">
      <w:pPr>
        <w:widowControl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75D5E" w:rsidRPr="00CE1406" w:rsidRDefault="00175D5E">
      <w:pPr>
        <w:widowControl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75D5E" w:rsidRPr="00CE1406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eastAsia="en-US"/>
        </w:rPr>
      </w:pPr>
    </w:p>
    <w:p w:rsidR="00175D5E" w:rsidRDefault="00CE1406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Информация о причинах отклонений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показателей представленных форм отчетности по 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междокументным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контрольным соотношениям, установленным в автоматизированной информационной системе Департамента финансов (в части допустимых отклонений, требующих пояснений)</w:t>
      </w:r>
    </w:p>
    <w:p w:rsidR="00175D5E" w:rsidRDefault="00175D5E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1296"/>
        <w:gridCol w:w="995"/>
        <w:gridCol w:w="900"/>
        <w:gridCol w:w="779"/>
        <w:gridCol w:w="1276"/>
        <w:gridCol w:w="728"/>
        <w:gridCol w:w="831"/>
        <w:gridCol w:w="1559"/>
        <w:gridCol w:w="1559"/>
        <w:gridCol w:w="4608"/>
      </w:tblGrid>
      <w:tr w:rsidR="00175D5E">
        <w:trPr>
          <w:trHeight w:val="5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Номер КС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Описание КС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Комментарий КС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Форма слева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Атрибут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Форма справа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Атрибут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Отклонение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Пояснение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Требует пояснения:Показатель принятых денежных обязательств в ф.0503128 не соответствует показателям лицевого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576 735,30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1 192 527,00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-615 791,70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Требует пояснения:Показатель принятых денежных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13 798 736,28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27 597 472,61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-13 798 736,33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Требует пояснения:Показатель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26 417 661,78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50 671 201,57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-24 253 539,79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Требует пояснения:Показатель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72 984 625,52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139 685 964,41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-66 701 338,89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Требует пояснения:Показатель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-2 000 000,00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Требует пояснения:Показатель принятых денежных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14 737 242,36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29 474 484,77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-14 737 242,41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Требует пояснения:Показатель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2 169 033,12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4 338 066,18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-2 169 033,06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Требует пояснения:Показатель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3 035 052,00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6 070 103,92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-3 035 051,92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288Р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0503128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т1 гр9 =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RP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_012 т1 гр7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Требует пояснения:Показатель принятых денежных обязательств в ф.0503128 не соответствует показателям лицевого счета ПБС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0503128M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=ПБС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2 246 759,34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CB_RP_012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Год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=ТФГ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4 493 518,75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-2 246 759,41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Субсидия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_БД т3 гр2 =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Сумма дебиторской (кредиторской) задолженнос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ти на конец предыдущего отчетного год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обеспечения_169=1,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 xml:space="preserve">Наименование финансового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32 637,11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Сумма дебиторской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Сумма дебиторской (кредиторской) задолженности на конец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Вид финансового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Сумма дебиторской (кредиторской)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 xml:space="preserve">задолженности на конец предыдущего отчетного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Код ВФО=1,Наименование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обеспечен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ия_169=1,Наименование финансового обесп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32 637,11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Сумма дебиторской (кредиторской)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Вид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финансового 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_БД т2 гр9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Сумма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_БД т4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 xml:space="preserve">Сумма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дебиторской (кредиторско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й)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32 637,11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Вид финансового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Сумма дебиторской (кредиторской)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32 637,11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-32 637,11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Pr="00CE1406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  <w:p w:rsidR="00175D5E" w:rsidRDefault="00175D5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т3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Сумма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Код ВФО=1,Наименование финансового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906 482,39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-906 482,39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_БД т4 гр2 =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 xml:space="preserve">Сумма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дебиторской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lastRenderedPageBreak/>
              <w:t>го 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906 482,39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-906 482,39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Сумма дебиторской (кредиторской) задолженности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209 662,19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Вид финансового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1 116 144,58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-906 482,39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т2 гр2+0503169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т1 гр9 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_БД т2 гр9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2021г+0503169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т3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Сумма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906 482,39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-906 482,39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представлена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форме</w:t>
            </w:r>
            <w:proofErr w:type="spellEnd"/>
          </w:p>
        </w:tc>
      </w:tr>
      <w:tr w:rsidR="00175D5E">
        <w:trPr>
          <w:trHeight w:val="2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lastRenderedPageBreak/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Сумма дебиторской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Вид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финансового обеспечения_169=1,Наименование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906 482,39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-906 482,39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Информация представлена в форме 0503173М_Б</w:t>
            </w:r>
          </w:p>
        </w:tc>
      </w:tr>
      <w:tr w:rsidR="00175D5E">
        <w:trPr>
          <w:trHeight w:val="552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Л-4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M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гр2 = 0503169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G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_БД т4 гр9 2021г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Сумма дебиторской (кредиторской) задолженности на конец 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предыдущего отчетного года не соответствует показателю ежеквартальных Сведений ф. 0503169 на начало года – требуются пояснения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0503169M_БД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Код ВФО=1,Наименование финансового обеспечения_169=бюджетная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209 662,19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0503169G_БД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Вид финансового обеспечения_169=1</w:t>
            </w:r>
            <w:r w:rsidRPr="00CE140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,Наименование финансового обеспечения_169=бюджетная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1 116 144,58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-906 482,39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175D5E" w:rsidRDefault="00CE1406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>Информация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en-US"/>
              </w:rPr>
              <w:t xml:space="preserve"> я</w:t>
            </w:r>
          </w:p>
        </w:tc>
      </w:tr>
    </w:tbl>
    <w:p w:rsidR="00175D5E" w:rsidRDefault="00175D5E">
      <w:pPr>
        <w:widowControl w:val="0"/>
        <w:jc w:val="center"/>
        <w:rPr>
          <w:rFonts w:eastAsia="Calibri"/>
          <w:bCs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</w:p>
    <w:tbl>
      <w:tblPr>
        <w:tblW w:w="11532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439"/>
        <w:gridCol w:w="4309"/>
      </w:tblGrid>
      <w:tr w:rsidR="00175D5E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Verdana" w:eastAsia="Calibri" w:hAnsi="Verdana" w:cs="Verdana"/>
                <w:bCs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577340" cy="412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Фисенко ЮРИЙ ГЕННАДЬЕВИЧ</w:t>
            </w:r>
          </w:p>
        </w:tc>
      </w:tr>
      <w:tr w:rsidR="00175D5E">
        <w:trPr>
          <w:trHeight w:val="2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75D5E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175D5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Руководитель планово-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Verdana" w:eastAsia="Calibri" w:hAnsi="Verdana" w:cs="Verdana"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77340" cy="412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Фисенко ЮРИЙ ГЕННАДЬЕВИЧ</w:t>
            </w:r>
          </w:p>
        </w:tc>
      </w:tr>
      <w:tr w:rsidR="00175D5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экономической службы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175D5E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175D5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Главный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577340" cy="412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Лаврова Мария Николаевна</w:t>
            </w:r>
          </w:p>
        </w:tc>
      </w:tr>
      <w:tr w:rsidR="00175D5E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бухгалтер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D5E" w:rsidRDefault="00CE140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</w:tbl>
    <w:p w:rsidR="00175D5E" w:rsidRDefault="00175D5E">
      <w:pPr>
        <w:widowControl w:val="0"/>
        <w:rPr>
          <w:rFonts w:eastAsia="Calibri"/>
          <w:bCs/>
        </w:rPr>
      </w:pPr>
      <w:bookmarkStart w:id="1" w:name="_dx_frag_EndFragment"/>
      <w:bookmarkEnd w:id="1"/>
    </w:p>
    <w:p w:rsidR="00175D5E" w:rsidRDefault="00175D5E">
      <w:pPr>
        <w:widowControl w:val="0"/>
        <w:jc w:val="both"/>
        <w:rPr>
          <w:rFonts w:ascii="Times New Roman CYR" w:eastAsia="Calibri" w:hAnsi="Times New Roman CYR" w:cs="Times New Roman CYR"/>
          <w:bCs/>
          <w:color w:val="004DBB"/>
          <w:lang w:val="en-US" w:eastAsia="en-US"/>
        </w:rPr>
      </w:pPr>
      <w:bookmarkStart w:id="2" w:name="_dx_frag_StartFragment"/>
      <w:bookmarkEnd w:id="2"/>
    </w:p>
    <w:p w:rsidR="00175D5E" w:rsidRDefault="00175D5E">
      <w:pPr>
        <w:widowControl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sectPr w:rsidR="00175D5E">
      <w:pgSz w:w="15840" w:h="12240" w:orient="landscape"/>
      <w:pgMar w:top="1134" w:right="819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5E"/>
    <w:rsid w:val="00175D5E"/>
    <w:rsid w:val="00C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362E5-2AF3-4A28-955E-A7B1DC2F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Theme="minorEastAsia" w:hAnsi="Calibr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Pr>
      <w:rFonts w:eastAsiaTheme="minorEastAsia"/>
    </w:rPr>
  </w:style>
  <w:style w:type="character" w:styleId="a4">
    <w:name w:val="Hyperlink"/>
    <w:basedOn w:val="a0"/>
    <w:rPr>
      <w:rFonts w:eastAsiaTheme="minorEastAsia"/>
      <w:color w:val="0000FF"/>
      <w:u w:val="single"/>
    </w:rPr>
  </w:style>
  <w:style w:type="character" w:customStyle="1" w:styleId="style461">
    <w:name w:val="style461"/>
    <w:basedOn w:val="a0"/>
    <w:rPr>
      <w:rFonts w:eastAsiaTheme="minorEastAsia"/>
      <w:sz w:val="15"/>
      <w:szCs w:val="15"/>
    </w:rPr>
  </w:style>
  <w:style w:type="table" w:styleId="1">
    <w:name w:val="Table Simple 1"/>
    <w:basedOn w:val="a1"/>
    <w:pPr>
      <w:spacing w:after="0" w:line="240" w:lineRule="auto"/>
    </w:pPr>
    <w:rPr>
      <w:rFonts w:ascii="Calibri" w:eastAsiaTheme="minorEastAsia" w:hAnsi="Calibr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4670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Петр Александрович</dc:creator>
  <cp:lastModifiedBy>DELL10</cp:lastModifiedBy>
  <cp:revision>2</cp:revision>
  <dcterms:created xsi:type="dcterms:W3CDTF">2022-08-08T05:22:00Z</dcterms:created>
  <dcterms:modified xsi:type="dcterms:W3CDTF">2022-08-08T05:22:00Z</dcterms:modified>
</cp:coreProperties>
</file>